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51F2" w:rsidRDefault="00800D2E">
      <w:pPr>
        <w:rPr>
          <w:b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Beyond War - Visualising Peace: artists respond to the armistice of </w:t>
      </w:r>
      <w:proofErr w:type="gramStart"/>
      <w:r>
        <w:rPr>
          <w:b/>
          <w:i/>
          <w:color w:val="0000FF"/>
          <w:sz w:val="24"/>
          <w:szCs w:val="24"/>
        </w:rPr>
        <w:t xml:space="preserve">1918 </w:t>
      </w:r>
      <w:r>
        <w:rPr>
          <w:b/>
          <w:color w:val="0000FF"/>
          <w:sz w:val="24"/>
          <w:szCs w:val="24"/>
        </w:rPr>
        <w:t xml:space="preserve"> commission</w:t>
      </w:r>
      <w:proofErr w:type="gramEnd"/>
      <w:r>
        <w:rPr>
          <w:b/>
          <w:color w:val="0000FF"/>
          <w:sz w:val="24"/>
          <w:szCs w:val="24"/>
        </w:rPr>
        <w:t xml:space="preserve"> information &amp; how to apply</w:t>
      </w:r>
    </w:p>
    <w:p w:rsidR="00E651F2" w:rsidRDefault="00E651F2">
      <w:pPr>
        <w:rPr>
          <w:b/>
          <w:color w:val="0000FF"/>
          <w:sz w:val="24"/>
          <w:szCs w:val="24"/>
        </w:rPr>
      </w:pPr>
    </w:p>
    <w:p w:rsidR="00E651F2" w:rsidRDefault="00800D2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Beaney</w:t>
      </w:r>
      <w:proofErr w:type="spellEnd"/>
      <w:r>
        <w:rPr>
          <w:sz w:val="24"/>
          <w:szCs w:val="24"/>
        </w:rPr>
        <w:t xml:space="preserve"> House of Art and Knowledge is home to an art gallery, museum, library, temporary exhibition spaces, visitor information centre and café situated in the heart of historic Canterbury. This award-winning facility provides state-of-the-art exhibitio</w:t>
      </w:r>
      <w:r>
        <w:rPr>
          <w:sz w:val="24"/>
          <w:szCs w:val="24"/>
        </w:rPr>
        <w:t xml:space="preserve">n galleries, excellent educational facilities and a varied programme of events for all ages. </w:t>
      </w:r>
    </w:p>
    <w:p w:rsidR="00E651F2" w:rsidRDefault="00E651F2">
      <w:pPr>
        <w:rPr>
          <w:color w:val="0000FF"/>
          <w:sz w:val="24"/>
          <w:szCs w:val="24"/>
        </w:rPr>
      </w:pPr>
    </w:p>
    <w:p w:rsidR="00E651F2" w:rsidRDefault="00800D2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Beaney</w:t>
      </w:r>
      <w:proofErr w:type="spellEnd"/>
      <w:r>
        <w:rPr>
          <w:sz w:val="24"/>
          <w:szCs w:val="24"/>
        </w:rPr>
        <w:t xml:space="preserve"> is marking the end of World War 1 with an exhibition considering the way we look back at momentous events/wars via memorials (from paper poppies to st</w:t>
      </w:r>
      <w:r>
        <w:rPr>
          <w:sz w:val="24"/>
          <w:szCs w:val="24"/>
        </w:rPr>
        <w:t>one plinths) and how we look forwards and visualise peace.</w:t>
      </w:r>
    </w:p>
    <w:p w:rsidR="00E651F2" w:rsidRDefault="00E651F2">
      <w:pPr>
        <w:rPr>
          <w:sz w:val="24"/>
          <w:szCs w:val="24"/>
        </w:rPr>
      </w:pPr>
    </w:p>
    <w:p w:rsidR="00E651F2" w:rsidRDefault="00800D2E">
      <w:pPr>
        <w:rPr>
          <w:sz w:val="24"/>
          <w:szCs w:val="24"/>
        </w:rPr>
      </w:pPr>
      <w:r>
        <w:rPr>
          <w:sz w:val="24"/>
          <w:szCs w:val="24"/>
        </w:rPr>
        <w:t xml:space="preserve">We are offering </w:t>
      </w:r>
      <w:proofErr w:type="spellStart"/>
      <w:r>
        <w:rPr>
          <w:sz w:val="24"/>
          <w:szCs w:val="24"/>
        </w:rPr>
        <w:t>offering</w:t>
      </w:r>
      <w:proofErr w:type="spellEnd"/>
      <w:r>
        <w:rPr>
          <w:sz w:val="24"/>
          <w:szCs w:val="24"/>
        </w:rPr>
        <w:t xml:space="preserve"> an artist’s commission for a stand-out installation around this theme for an exhibition to open on the weekend of Armistice Day 11 November 2018, and run to January 2019. </w:t>
      </w:r>
      <w:r>
        <w:rPr>
          <w:sz w:val="24"/>
          <w:szCs w:val="24"/>
        </w:rPr>
        <w:t>The installation could be 2D or 3D and/or use a film and graphic work and will encourage the community’s and visitors’ engagement with the exhibition.</w:t>
      </w:r>
    </w:p>
    <w:p w:rsidR="00E651F2" w:rsidRDefault="00E651F2">
      <w:pPr>
        <w:rPr>
          <w:color w:val="0000FF"/>
          <w:sz w:val="24"/>
          <w:szCs w:val="24"/>
        </w:rPr>
      </w:pPr>
    </w:p>
    <w:p w:rsidR="00E651F2" w:rsidRDefault="00800D2E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We are offering an artist’s commission for a stand-out installation around this theme for an exhibition </w:t>
      </w:r>
      <w:r>
        <w:rPr>
          <w:sz w:val="24"/>
          <w:szCs w:val="24"/>
        </w:rPr>
        <w:t>in the Front Room Gallery. The exhibition will run from Armistice Day Saturday 11 November 2018 to January 2019.</w:t>
      </w:r>
    </w:p>
    <w:p w:rsidR="00E651F2" w:rsidRDefault="00800D2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successful candidate will: </w:t>
      </w:r>
    </w:p>
    <w:p w:rsidR="00E651F2" w:rsidRDefault="00800D2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independently and have the necessary experience, skills and contacts to research, develop and deliver an i</w:t>
      </w:r>
      <w:r>
        <w:rPr>
          <w:sz w:val="24"/>
          <w:szCs w:val="24"/>
        </w:rPr>
        <w:t xml:space="preserve">nstallation that explores the theme, and takes inspiration from The </w:t>
      </w:r>
      <w:proofErr w:type="spellStart"/>
      <w:r>
        <w:rPr>
          <w:sz w:val="24"/>
          <w:szCs w:val="24"/>
        </w:rPr>
        <w:t>Beaney’s</w:t>
      </w:r>
      <w:proofErr w:type="spellEnd"/>
      <w:r>
        <w:rPr>
          <w:sz w:val="24"/>
          <w:szCs w:val="24"/>
        </w:rPr>
        <w:t xml:space="preserve"> own collections. </w:t>
      </w:r>
    </w:p>
    <w:p w:rsidR="00E651F2" w:rsidRDefault="00800D2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produce the exhibition installation in the Front Room, on time and on budget</w:t>
      </w:r>
    </w:p>
    <w:p w:rsidR="00E651F2" w:rsidRDefault="00800D2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 the final exhibition installation outline with The </w:t>
      </w:r>
      <w:proofErr w:type="spellStart"/>
      <w:r>
        <w:rPr>
          <w:sz w:val="24"/>
          <w:szCs w:val="24"/>
        </w:rPr>
        <w:t>Beaney</w:t>
      </w:r>
      <w:proofErr w:type="spellEnd"/>
      <w:r>
        <w:rPr>
          <w:sz w:val="24"/>
          <w:szCs w:val="24"/>
        </w:rPr>
        <w:t xml:space="preserve"> Programming &amp; Engage</w:t>
      </w:r>
      <w:r>
        <w:rPr>
          <w:sz w:val="24"/>
          <w:szCs w:val="24"/>
        </w:rPr>
        <w:t xml:space="preserve">ment Manager </w:t>
      </w:r>
    </w:p>
    <w:p w:rsidR="00E651F2" w:rsidRDefault="00800D2E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available to attend a launch event shortly after the installation</w:t>
      </w:r>
    </w:p>
    <w:p w:rsidR="00E651F2" w:rsidRDefault="00E651F2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E651F2" w:rsidRDefault="00800D2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Success of the project will be measured by:</w:t>
      </w:r>
    </w:p>
    <w:p w:rsidR="00E651F2" w:rsidRDefault="00800D2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delivered on time and within budget, and presented to a high standard in The Front Room gallery at The </w:t>
      </w:r>
      <w:proofErr w:type="spellStart"/>
      <w:r>
        <w:rPr>
          <w:sz w:val="24"/>
          <w:szCs w:val="24"/>
        </w:rPr>
        <w:t>Beaney</w:t>
      </w:r>
      <w:proofErr w:type="spellEnd"/>
    </w:p>
    <w:p w:rsidR="00E651F2" w:rsidRDefault="00800D2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positive qual</w:t>
      </w:r>
      <w:r>
        <w:rPr>
          <w:sz w:val="24"/>
          <w:szCs w:val="24"/>
        </w:rPr>
        <w:t>itative feedback from exhibition  visitors including comments and images via social media/press</w:t>
      </w:r>
    </w:p>
    <w:p w:rsidR="00E651F2" w:rsidRDefault="00E651F2">
      <w:pPr>
        <w:spacing w:line="240" w:lineRule="auto"/>
        <w:rPr>
          <w:i/>
          <w:color w:val="0000FF"/>
          <w:sz w:val="24"/>
          <w:szCs w:val="24"/>
        </w:rPr>
      </w:pPr>
    </w:p>
    <w:p w:rsidR="00E651F2" w:rsidRDefault="00800D2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DETAILS:</w:t>
      </w:r>
      <w:r>
        <w:rPr>
          <w:sz w:val="24"/>
          <w:szCs w:val="24"/>
        </w:rPr>
        <w:t xml:space="preserve"> </w:t>
      </w:r>
    </w:p>
    <w:p w:rsidR="00E651F2" w:rsidRDefault="00800D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Canterbury Museums &amp; Galleries will provide:</w:t>
      </w:r>
    </w:p>
    <w:p w:rsidR="00E651F2" w:rsidRDefault="00800D2E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point of contact for the successful candidate</w:t>
      </w:r>
    </w:p>
    <w:p w:rsidR="00E651F2" w:rsidRDefault="00800D2E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member of staff to assist with the installation and ta</w:t>
      </w:r>
      <w:r>
        <w:rPr>
          <w:sz w:val="24"/>
          <w:szCs w:val="24"/>
        </w:rPr>
        <w:t xml:space="preserve">kedown of the exhibition </w:t>
      </w:r>
    </w:p>
    <w:p w:rsidR="00E651F2" w:rsidRDefault="00800D2E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Key dates include:</w:t>
      </w:r>
    </w:p>
    <w:p w:rsidR="00E651F2" w:rsidRDefault="00800D2E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project briefing and start March 2018</w:t>
      </w:r>
    </w:p>
    <w:p w:rsidR="00E651F2" w:rsidRDefault="00800D2E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Sign off draft  ideas - J</w:t>
      </w:r>
      <w:r>
        <w:rPr>
          <w:sz w:val="24"/>
          <w:szCs w:val="24"/>
        </w:rPr>
        <w:t xml:space="preserve">une 2018 </w:t>
      </w:r>
    </w:p>
    <w:p w:rsidR="00E651F2" w:rsidRDefault="00800D2E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Artist’s creative input completed and installation method agreed by mid-October 2018 </w:t>
      </w:r>
    </w:p>
    <w:p w:rsidR="00E651F2" w:rsidRDefault="00800D2E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 open morning in the first week of the exhibition (TBA)</w:t>
      </w:r>
    </w:p>
    <w:p w:rsidR="00E651F2" w:rsidRDefault="00800D2E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exhibition takedown 8-9 January 2018 (TBC)</w:t>
      </w:r>
    </w:p>
    <w:p w:rsidR="00E651F2" w:rsidRDefault="00E651F2">
      <w:pPr>
        <w:spacing w:line="240" w:lineRule="auto"/>
        <w:jc w:val="both"/>
        <w:rPr>
          <w:sz w:val="24"/>
          <w:szCs w:val="24"/>
        </w:rPr>
      </w:pPr>
    </w:p>
    <w:p w:rsidR="00E651F2" w:rsidRDefault="00E651F2">
      <w:pPr>
        <w:spacing w:line="240" w:lineRule="auto"/>
        <w:jc w:val="both"/>
        <w:rPr>
          <w:b/>
          <w:sz w:val="24"/>
          <w:szCs w:val="24"/>
        </w:rPr>
      </w:pPr>
    </w:p>
    <w:p w:rsidR="00E651F2" w:rsidRDefault="00E651F2">
      <w:pPr>
        <w:spacing w:line="240" w:lineRule="auto"/>
        <w:jc w:val="both"/>
        <w:rPr>
          <w:b/>
          <w:sz w:val="24"/>
          <w:szCs w:val="24"/>
        </w:rPr>
      </w:pPr>
    </w:p>
    <w:p w:rsidR="00E651F2" w:rsidRDefault="00800D2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PAYMENT:</w:t>
      </w:r>
      <w:r>
        <w:rPr>
          <w:sz w:val="24"/>
          <w:szCs w:val="24"/>
        </w:rPr>
        <w:t xml:space="preserve"> </w:t>
      </w:r>
    </w:p>
    <w:p w:rsidR="00E651F2" w:rsidRDefault="00800D2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£3000 (in 3 staged payments) to include:</w:t>
      </w:r>
    </w:p>
    <w:p w:rsidR="00E651F2" w:rsidRDefault="00800D2E">
      <w:pPr>
        <w:numPr>
          <w:ilvl w:val="0"/>
          <w:numId w:val="5"/>
        </w:numPr>
        <w:spacing w:before="10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Creation off-site (the </w:t>
      </w:r>
      <w:proofErr w:type="spellStart"/>
      <w:r>
        <w:rPr>
          <w:sz w:val="24"/>
          <w:szCs w:val="24"/>
        </w:rPr>
        <w:t>Beaney</w:t>
      </w:r>
      <w:proofErr w:type="spellEnd"/>
      <w:r>
        <w:rPr>
          <w:sz w:val="24"/>
          <w:szCs w:val="24"/>
        </w:rPr>
        <w:t xml:space="preserve"> has no workshop facilities)</w:t>
      </w:r>
    </w:p>
    <w:p w:rsidR="00E651F2" w:rsidRDefault="00800D2E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days installation and takedown </w:t>
      </w:r>
    </w:p>
    <w:p w:rsidR="00E651F2" w:rsidRDefault="00800D2E">
      <w:pPr>
        <w:numPr>
          <w:ilvl w:val="0"/>
          <w:numId w:val="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planning,</w:t>
      </w:r>
      <w:r>
        <w:rPr>
          <w:sz w:val="24"/>
          <w:szCs w:val="24"/>
        </w:rPr>
        <w:t xml:space="preserve"> preparation, and co-ordination of the installation </w:t>
      </w:r>
    </w:p>
    <w:p w:rsidR="00E651F2" w:rsidRDefault="00800D2E">
      <w:pPr>
        <w:numPr>
          <w:ilvl w:val="0"/>
          <w:numId w:val="5"/>
        </w:numPr>
        <w:spacing w:after="100"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All expenses and materials ( including delivery of the work to and from the gallery)</w:t>
      </w:r>
    </w:p>
    <w:p w:rsidR="00E651F2" w:rsidRDefault="00E651F2">
      <w:pPr>
        <w:spacing w:after="100" w:line="240" w:lineRule="auto"/>
        <w:jc w:val="both"/>
        <w:rPr>
          <w:sz w:val="24"/>
          <w:szCs w:val="24"/>
        </w:rPr>
      </w:pPr>
    </w:p>
    <w:p w:rsidR="00E651F2" w:rsidRDefault="00800D2E">
      <w:pPr>
        <w:spacing w:before="100"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APPLY: </w:t>
      </w:r>
    </w:p>
    <w:p w:rsidR="00E651F2" w:rsidRDefault="00800D2E">
      <w:pPr>
        <w:spacing w:before="100" w:after="10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Please submit a current CV, an overview of your relevant experience, and your project outline (max 500</w:t>
      </w:r>
      <w:r>
        <w:rPr>
          <w:sz w:val="24"/>
          <w:szCs w:val="24"/>
        </w:rPr>
        <w:t xml:space="preserve"> words) to </w:t>
      </w:r>
      <w:hyperlink r:id="rId6">
        <w:r>
          <w:rPr>
            <w:b/>
            <w:sz w:val="24"/>
            <w:szCs w:val="24"/>
            <w:highlight w:val="white"/>
            <w:u w:val="single"/>
          </w:rPr>
          <w:t>thefrontroom@canterbury.gov.uk</w:t>
        </w:r>
      </w:hyperlink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i/>
          <w:sz w:val="24"/>
          <w:szCs w:val="24"/>
        </w:rPr>
        <w:t xml:space="preserve">Beyond War - Visualising Peace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Creative Commission</w:t>
      </w:r>
      <w:r>
        <w:rPr>
          <w:sz w:val="24"/>
          <w:szCs w:val="24"/>
        </w:rPr>
        <w:t xml:space="preserve"> in the subject line no later than midnight on </w:t>
      </w:r>
      <w:r>
        <w:rPr>
          <w:b/>
          <w:sz w:val="24"/>
          <w:szCs w:val="24"/>
        </w:rPr>
        <w:t>Wednesday 21</w:t>
      </w:r>
      <w:r w:rsidRPr="00800D2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2018.</w:t>
      </w:r>
    </w:p>
    <w:p w:rsidR="00800D2E" w:rsidRDefault="00800D2E">
      <w:pPr>
        <w:spacing w:before="100" w:after="10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E651F2" w:rsidRDefault="00800D2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successful two references, PLI (u</w:t>
      </w:r>
      <w:r>
        <w:rPr>
          <w:sz w:val="24"/>
          <w:szCs w:val="24"/>
        </w:rPr>
        <w:t>p to £5 million) and DRB/CRB will need to be provided.</w:t>
      </w:r>
    </w:p>
    <w:p w:rsidR="00E651F2" w:rsidRDefault="00800D2E">
      <w:pPr>
        <w:spacing w:before="100"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CONTACT:</w:t>
      </w:r>
    </w:p>
    <w:p w:rsidR="00E651F2" w:rsidRDefault="00800D2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 Russell</w:t>
      </w:r>
    </w:p>
    <w:p w:rsidR="00E651F2" w:rsidRDefault="00800D2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Programming and Engagement Officer</w:t>
      </w:r>
    </w:p>
    <w:p w:rsidR="00E651F2" w:rsidRDefault="00800D2E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Canterbury Museums and Galleries</w:t>
      </w:r>
    </w:p>
    <w:bookmarkStart w:id="1" w:name="_1i6chvl4zdfn" w:colFirst="0" w:colLast="0"/>
    <w:bookmarkEnd w:id="1"/>
    <w:p w:rsidR="00E651F2" w:rsidRDefault="00800D2E">
      <w:pPr>
        <w:spacing w:line="240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HYPERLINK "mailto:thefrontroom@canterbury.gov.uk"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thefrontroom@canterbury.gov.uk</w:t>
      </w:r>
      <w:r>
        <w:rPr>
          <w:color w:val="1155CC"/>
          <w:sz w:val="24"/>
          <w:szCs w:val="24"/>
          <w:u w:val="single"/>
        </w:rPr>
        <w:fldChar w:fldCharType="end"/>
      </w:r>
    </w:p>
    <w:p w:rsidR="00E651F2" w:rsidRDefault="00E651F2">
      <w:pPr>
        <w:spacing w:line="240" w:lineRule="auto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E651F2" w:rsidRDefault="00E651F2"/>
    <w:sectPr w:rsidR="00E651F2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F3"/>
    <w:multiLevelType w:val="multilevel"/>
    <w:tmpl w:val="6FB4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BD70DC"/>
    <w:multiLevelType w:val="multilevel"/>
    <w:tmpl w:val="CAB4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CE202F"/>
    <w:multiLevelType w:val="multilevel"/>
    <w:tmpl w:val="EA7A0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2943FF"/>
    <w:multiLevelType w:val="multilevel"/>
    <w:tmpl w:val="7BEA5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433E31"/>
    <w:multiLevelType w:val="multilevel"/>
    <w:tmpl w:val="2272C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51F2"/>
    <w:rsid w:val="00800D2E"/>
    <w:rsid w:val="00E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frontroom@canterbur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Buggins</dc:creator>
  <cp:lastModifiedBy>Holly Buggins</cp:lastModifiedBy>
  <cp:revision>2</cp:revision>
  <dcterms:created xsi:type="dcterms:W3CDTF">2018-03-13T09:48:00Z</dcterms:created>
  <dcterms:modified xsi:type="dcterms:W3CDTF">2018-03-13T09:48:00Z</dcterms:modified>
</cp:coreProperties>
</file>